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w:t>
      </w:r>
    </w:p>
    <w:p>
      <w:r>
        <w:t>Bundesgericht (BGE), 2020-07-16, DE</w:t>
      </w:r>
    </w:p>
    <w:p>
      <w:r>
        <w:rPr>
          <w:b/>
        </w:rPr>
        <w:t xml:space="preserve">Quelle: </w:t>
      </w:r>
      <w:r>
        <w:t>https://mcp.opencaselaw.ch/entscheid/bge_147 I 1</w:t>
      </w:r>
    </w:p>
    <w:p>
      <w:r>
        <w:t>FR: ATF 147 I 1</w:t>
      </w:r>
    </w:p>
    <w:p>
      <w:r>
        <w:t>IT: DTF 147 I 1</w:t>
      </w:r>
    </w:p>
    <w:p>
      <w:pPr>
        <w:pStyle w:val="Heading2"/>
      </w:pPr>
      <w:r>
        <w:t>Regeste</w:t>
      </w:r>
    </w:p>
    <w:p>
      <w:r>
        <w:t>Regeste Art. 5 Abs. 1 sowie Art. 8 Abs. 1 und 2 BV; Art. 82 lit. a, Art. 86 Abs. 2 und 3 sowie Art. 89 Abs. 1 BGG; Nichtwiederwahl eines Verwaltungsrichters aus Altersgründen; Anfechtbarkeit des Wahlakts des kantonalen Parlaments; Vereinbarkeit mit dem Legalitätsprinzip, dem Diskriminierungsverbot und dem allgemeinen Gleichheitssatz. Der Wahlakt ist ungeachtet seiner Rechtsnatur ein zulässiges Anfechtungsobjekt (E. 3.2). Er hat vorwiegend politischen Charakter im Sinne von Art. 86 Abs. 3 BGG und kann mangels Weiterzugsmöglichkeit im Kanton direkt beim Bundesgericht angefochten werden (E. 3.3). Der Beschwerdeführer ist durch den Wahlakt insofern besonders berührt, als er damit nicht wiedergewählt worden ist, und hat jedenfalls so weit ein Rechtsschutzinteresse, als er seine Wiederwahl für die laufende Amtsperiode durch den Kantonsrat verlangt (E. 3.4). Die Praxis des Kantonsrats, Richterinnen und Richter der obersten kantonalen Gerichte nicht wiederzuwählen, wenn sie zu Beginn der neuen Amtsperiode das 65. Altersjahr bereits vollendet haben, ist mit dem Legalitätsprinzip vereinbar, auch wenn das kantonale Recht keine altersbezogene Regelung kennt (E. 4.3). Die Praxis verstösst auch nicht gegen das Diskriminierungsverbot (E. 5.3). Sie ermöglicht jedoch eine gegen die Rechtsgleichheit verstossende Ungleichbehandlung von Amtsinhaberinnen und -inhabern, die kurz vor bzw. kurz nach Beginn der neuen Amtsperiode das 65. Altersjahr vollendet haben. Letztere können ihr Amt bis zu fast sechs Jahren länger ausüben. Im vorliegenden Fall führt die Wahlpraxis allerdings nicht zu einer verfassungswidrigen Ungleichbehandlung des Beschwerdeführers (E. 6.3).</w:t>
      </w:r>
    </w:p>
    <w:p>
      <w:pPr>
        <w:pStyle w:val="Heading2"/>
      </w:pPr>
      <w:r>
        <w:t>Erwägungen</w:t>
      </w:r>
    </w:p>
    <w:p>
      <w:r>
        <w:rPr>
          <w:b/>
        </w:rPr>
        <w:t>E. 3.1</w:t>
      </w:r>
    </w:p>
    <w:p>
      <w:r>
        <w:t>Im Verfahren 1C_357/2019 kommt die Beschwerde in Stimmrechtssachen ( Art. 82 lit. c BGG ) gegen den Wahlakt des Kantonsrats nicht in Betracht, handelt es sich doch um eine indirekte Wahl ( BGE 137 I 77 E. 1.1 S. 78 f. mit Hinweisen). In Frage kommt aber die Beschwerde gegen Entscheide in Angelegenheiten des öffentlichen Rechts ( Art. 82 lit. a BGG ).</w:t>
      </w:r>
    </w:p>
    <w:p>
      <w:r>
        <w:rPr>
          <w:b/>
        </w:rPr>
        <w:t>E. 3.2</w:t>
      </w:r>
    </w:p>
    <w:p>
      <w:r>
        <w:t>In diesem Zusammenhang ist zu beachten, dass der strittige Wahlakt zwar hoheitlichen und öffentlich-rechtlichen Charakter hat, die Rechtsnatur von Wahlen und Wiederwahlen von Richterinnen und Richtern jedoch nicht abschliessend geklärt ist (vgl. REGINA KIENER, Verfahren der Erneuerungswahl von Richterinnen und Richtern des Bundes, Gutachten vom 28. Januar 2008 im Auftrag der Gerichtskommission der Vereinigten Bundesversammlung, VPB 2008 N. 26 S. 350, 359 [betr. Richterwahlen durch die Bundesversammlung; nachfolgend: Gutachten]; PETER BIERI, Bearbeitung von Daten über Richterinnen und Richter, 2017, S. 115 Rz. 212). Entsprechende Wahlakte, zumindest aber Wiederwahlen bzw. Nichtwiederwahlen, werden teilweise als individuell-konkrete Rechtsanwendungsakte resp. Verfügungen beurteilt (vgl. KIENER, Gutachten, a.a.O., S. 350, 359 f.; BIERI, a.a.O., S. 115 f. Rz. 212). Namentlich Wahlakte der Bundesversammlung werden aber zum Teil auch der Regierungstätigkeit zugeordnet, welche die für das staatliche Leben grundlegenden Entscheidungen umfasse, die weder Rechtsetzung noch reine Rechtsanwendung seien (vgl. HÄFELIN/HALLER/KELLER/ TURNHERR, Schweizerisches Bundesstaatsrecht, 9. Aufl. 2016, Rz. 1525; weitere Hinweise bei KIENER, Gutachten, a.a.O., S. 357 Fn. 10). Wie es sich damit verhält, ist hier nicht näher zu prüfen. Nach der bundesgerichtlichen Rechtsprechung wird bei der Umschreibung des Anfechtungsobjekts gemäss Art. 82 lit. a BGG auch darauf BGE 147 I 1 S. 5 abgestellt, wie weit ein strittiger Akt geeignet ist, Grundrechte oder andere Rechtsschutzbedürfnisse zu verletzen; die Anfechtbarkeit muss auch von der materiellen Rechtslage und den damit verbundenen Bedürfnissen nach gerichtlicher Kontrolle her konzipiert werden ( BGE 145 I 121 E. 1.1.2 S. 125; BGE 138 I 6 E. 1.2 S. 11 f.; je mit Hinweisen). Vorliegend stellt sich aufgrund der Vorbringen des Beschwerdeführers namentlich die Frage, ob dieser dadurch, dass er mit dem strittigen Wahlakt aus Altersgründen nicht wiedergewählt worden ist, im Sinne von Art. 8 Abs. 2 BV diskriminiert worden ist. Damit besteht schon aus diesem Grund ungeachtet der Rechtsnatur des Wahlakts ein Bedürfnis an dessen gerichtlicher Überprüfung. Es liegt daher grundsätzlich ein zulässiges Anfechtungsobjekt vor, zumal kein Ausschlussgrund nach Art. 83 BGG besteht.</w:t>
      </w:r>
    </w:p>
    <w:p>
      <w:r>
        <w:rPr>
          <w:b/>
        </w:rPr>
        <w:t>E. 3.3.1</w:t>
      </w:r>
    </w:p>
    <w:p>
      <w:r>
        <w:t>Nicht ohne Weiteres klar erscheint, ob gegen den strittigen Wahlakt direkt Beschwerde beim Bundesgericht geführt werden kann. Nach Art. 86 Abs. 2 BGG , der die Rechtsweggarantie von Art. 29a BV konkretisiert, haben die Kantone als unmittelbare Vorinstanzen des Bundesgerichts obere Gerichte einzusetzen, soweit nicht nach einem anderen Bundesgesetz Entscheide anderer richterlicher Behörden der Beschwerde an das Bundesgericht unterliegen. Lediglich für Entscheide mit vorwiegend politischem Charakter können sie gemäss Art. 86 Abs. 3 BGG anstelle eines Gerichts eine andere Behörde als unmittelbare Vorinstanz bestimmen. § 42 lit. b des Verwaltungsrechtspflegegesetzes des Kantons Zürich vom 24. Mai 1959 (VRG/ZH; LS 175.2), wonach vorbehältlich hier nicht massgeblicher Ausnahmen Anordnungen des Kantonsrats und seiner Organe nicht beim Verwaltungsgericht angefochten werden können, ist in Bezug auf den strittigen Wahlakt daher nur bundesrechtskonform, wenn es sich bei diesem um einen Entscheid gemäss Art. 86 Abs. 3 BGG handelt.</w:t>
      </w:r>
    </w:p>
    <w:p>
      <w:r>
        <w:rPr>
          <w:b/>
        </w:rPr>
        <w:t>E. 3.3.2</w:t>
      </w:r>
    </w:p>
    <w:p>
      <w:r>
        <w:t>Was unter dem unbestimmten Rechtsbegriff "Entscheide mit vorwiegend politischem Charakter" zu verstehen ist, wird in den Materialien nicht näher erläutert. Danach wie auch gemäss der Literatur und der bundesgerichtlichen Rechtsprechung ist die mit Art. 86 Abs. 3 BGG vorgesehene Ausnahme von der Rechtsweggarantie jedoch restriktiv auszulegen; der Ausschluss der richterlichen Beurteilung (auf kantonaler Ebene) kommt nur für Ausnahmefälle in Betracht ( BGE 136 II 436 E. 1.2 S. 438 f.; BGE 136 I 42 E. 1.5, 1.5.1 ff. S. 45 f. mit zahlreichen Hinweisen; ESTHER TOPHINKE, in: BGE 147 I 1 S. 6 Basler Kommentar, Bundesgerichtsgesetz, 3. Aufl. 2018, N. 19 zu Art. 86 BGG ). Der politische Charakter der Angelegenheit muss offensichtlich sein. Dass die Sache eine politische Bedeutung hat, genügt nicht; diese muss vielmehr unzweifelhaft im Vordergrund stehen und mögliche auf dem Spiel stehende private Interessen in den Hintergrund treten lassen ( BGE 141 I 172 E. 4.4.1 S. 180; BGE 136 I 42 E. 1.5.4 S. 46; Urteil 8C_353/2013 vom 28. August 2013 E. 6.2). Der Ausschluss der gerichtlichen Überprüfung kann wegen des politischen Inhalts eines Entscheids oder seines politischen Umfelds in Frage kommen, etwa weil er von den obersten politischen Behörden (Parlament oder Regierung) getroffen wird, allenfalls unter Mitwirkung des Volks ( BGE 141 I 172 E. 4.4.2 S. 180 f.; TOPHINKE, a.a.O., N. 20 zu Art. 86 BGG ; RUTH HERZOG, Auswirkungen auf die Staats- und Verwaltungsrechtspflege in den Kantonen, in: Neue Bundesrechtspflege, Berner Tage für die juristische Praxis [BTJP] 2006, 2007, S. 87 f.). Als zulässig erachtet wird er in der Literatur namentlich bei politischen Wahlen von Behördenmitgliedern durch das Volk, das kantonale Parlament, die Kantonsregierung oder Gemeindebehörden (TOPHINKE, a.a.O., N. 22 zu Art. 86 BGG ). Zu derartigen politischen Wahlen werden teilweise ausdrücklich auch Richterwahlen gezählt, wobei festgehalten wird, bei politischen Wahlen stehe im Gegensatz zu dienstrechtlichen Wahlen die Repräsentanz im Vordergrund (HERZOG, a.a.O., S. 103 mit Hinweis).</w:t>
      </w:r>
    </w:p>
    <w:p>
      <w:r>
        <w:rPr>
          <w:b/>
        </w:rPr>
        <w:t>E. 3.3.3</w:t>
      </w:r>
    </w:p>
    <w:p>
      <w:r>
        <w:t>Das in der Schweiz vorherrschende System der Richterwahlen ist nach wie vor stark politisch geprägt. Die Wahlen erfolgen regelmässig durch politische Behörden (Parlament oder Volk). Zur Sicherstellung einer ausgewogenen Vertretung der gesellschaftlichen und politischen Kräfte in den Gerichten wird hauptsächlich unmittelbar an die Zugehörigkeit zu einer politischen Partei und den Parteienproporz angeknüpft. Die parteipolitische Repräsentanz gehört auch bei Richterwahlen zu den Dominanten der schweizerischen Politik ( BGE 138 I 217 E. 3.3.5 S. 222). Die politischen Parteien sind dementsprechend in der Regel massgeblich in die Vorbereitung der Richterwahlen involviert (vgl. BIERI, a.a.O., S. 117 Rz. 213). Diese bezwecken sodann auch, die Richterinnen und Richter demokratisch zu legitimieren bzw. - bei Wiederwahlen - ihre demokratische Legitimation zu erneuern (vgl. BGE 143 I 211 E. 3.4 S. 214). Im Einklang damit besteht kein Rechtsanspruch auf Wiederwahl, auch wenn diese faktisch die Norm ist (vgl. etwa HUGI YAR/KLEY, in: Basler Kommentar, Bundesgerichtsgesetz, 3. Aufl. 2018, N. 3c zu BGE 147 I 1 S. 7 Art. 9 BGG ; KIENER, Gutachten, a.a.O., S. 363; MARK M. LIVSCHITZ, Die Richterwahl im Kanton Zürich, 2002, S. 253 f.). Insbesondere die Wahl der Mitglieder der obersten kantonalen Gerichte durch kantonale Parlamente beschlägt damit auch das staatspolitisch relevante Verhältnis der Gewalten bzw. die Gewaltenteilung. Aufgrund der ausgeprägt politischen Natur des derzeit vorherrschenden Systems der Richterwahlen haben Wahlakte kantonaler Parlamente, die in diesem System ergehen, zwangsläufig einen vorwiegend politischen Charakter. Daran ändert sich nichts, wenn entgegen der allgemeinen Regel stattfindende Nichtwiederwahlen (vgl. dazu KIENER, Gutachten, a.a.O., S. 360) oder Wahlakte, mit denen anstelle erneut kandidierender Richterinnen oder Richter neue gewählt werden, aus anderen als politischen Gründen erfolgen, etwa wegen fehlender fachlicher Eignung oder, wie im vorliegenden Fall, einer Alterslimite. Der vorwiegend politische Charakter auch solcher Wahlakte hängt nicht von den konkreten Gründen ab, aus denen sie erfolgen, sondern ergibt sich aus der Natur des Wahlsystems, in dem sie ergehen. Auch bei derartigen Wahlakten steht daher - ungeachtet der Frage, ob die strittigen Fragen justiziabel sind - der politische Charakter unzweifelhaft im Vordergrund und lässt die privaten Interessen der davon betroffenen bisherigen Richterinnen und Richter in den Hintergrund treten. Solche Wahlakte sind deshalb wie die übrigen Wahlakte kantonaler Parlamente, die im vorherrschenden System der Richterwahlen ergehen, als Entscheide mit vorwiegend politischem Charakter im Sinne von Art. 86 Abs. 3 BGG zu beurteilen. Dies gilt umso mehr, als sich allfällige Beschwerden in der Regel gegen den Gesamtwahlakt richten dürften und sich auch aus diesem Grund eine einheitliche Qualifikation der Wahlakte aufdrängt.</w:t>
      </w:r>
    </w:p>
    <w:p>
      <w:r>
        <w:rPr>
          <w:b/>
        </w:rPr>
        <w:t>E. 3.3.4</w:t>
      </w:r>
    </w:p>
    <w:p>
      <w:r>
        <w:t>Nach dem Gesagten fällt der strittige Wahlakt unter die Ausnahme von Art. 86 Abs. 3 BGG . Der Ausschluss der Beschwerde an das Verwaltungsgericht gemäss § 42 lit. b VRG/ZH ist daher bundesrechtskonform, weshalb der Wahlakt direkt beim Bundesgericht angefochten werden kann.</w:t>
      </w:r>
    </w:p>
    <w:p>
      <w:r>
        <w:rPr>
          <w:b/>
        </w:rPr>
        <w:t>E. 3.4</w:t>
      </w:r>
    </w:p>
    <w:p>
      <w:r>
        <w:t>Gemäss Art. 89 Abs. 1 BGG ist zur Beschwerde in öffentlich-rechtlichen Angelegenheiten berechtigt, wer am vorinstanzlichen Verfahren teilgenommen oder keine Möglichkeit zur Teilnahme erhalten hat (lit. a), durch den angefochtenen Entscheid besonders berührt ist (lit. b) und ein schutzwürdiges Interesse an dessen Aufhebung oder Änderung hat (lit. c). Das Rechtsschutzinteresse muss aktuell BGE 147 I 1 S. 8 und praktisch sein (vgl. BGE 142 I 135 E. 1.3.1 S. 143 mit Hinweisen). Die beschwerdeführende Person muss aus dem beantragten Verfahrensausgang einen praktischen Nutzen dergestalt ziehen, dass ihre tatsächliche oder rechtliche Situation beeinflusst werden kann (vgl. BGE 141 II 307 E. 6.2 S. 312; BGE 140 II 214 E. 2.1 S. 218). Der Beschwerdeführer hat mit seiner Kandidatur für die Wiederwahl am Wahlverfahren teilgenommen. Er ist durch den strittigen Wahlakt insofern besonders berührt, als er damit nicht wiedergewählt worden ist, und hat in Bezug auf das Hauptbegehren jedenfalls so weit ein Rechtsschutzinteresse, als er seine Wiederwahl für die laufende Amtsperiode 2019-2025 durch den Kantonsrat verlangt. Zumindest insoweit ist er daher gemäss Art. 89 Abs. 1 BGG zur Beschwerde legitimiert. Damit kann im Grundsatz auf die Beschwerde im Verfahren 1C_357/2019 eingetreten werden, sind doch die übrigen Sachurteilsvoraussetzungen erfüllt. Weitere Ausführungen zur Legitimation sind mit Blick auf den Ausgang des Verfahrens nicht erforderlich.</w:t>
      </w:r>
    </w:p>
    <w:p>
      <w:r>
        <w:rPr>
          <w:b/>
        </w:rPr>
        <w:t>E. 3.5</w:t>
      </w:r>
    </w:p>
    <w:p>
      <w:r>
        <w:t>Mit der Beschwerde in öffentlich-rechtlichen Angelegenheiten kann insbesondere die Verletzung von Bundesrecht und kantonalen verfassungsmässigen Rechten gerügt werden ( Art. 95 lit. a und c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vgl. auch nicht publ. E. 2.1). Das Bundesgericht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4.1</w:t>
      </w:r>
    </w:p>
    <w:p>
      <w:r>
        <w:t>Der Beschwerdeführer bringt im Verfahren 1C_357/2019 in materieller Hinsicht als Erstes vor, die Wiederwahl von Richterinnen und Richtern sei nach Art. 41 KV/ZH (SR 131.211) beliebig oft zulässig. Weder die Kantonsverfassung noch die kantonale Gesetzgebung sähen für die Mitglieder der obersten kantonalen Gerichte BGE 147 I 1 S. 9 eine Altersschranke vor. Diese unterstünden nach dem Willen des (formellen) Gesetzgebers auch nicht dem kantonalen Personalrecht. Die auf den Beschluss der Interfraktionellen Konferenz vom 1. November 2010 (vgl. vorne Bst. A) gestützte Wahlpraxis des Kantonsrats, amtierende Richterinnen und Richter der obersten Gerichte allein wegen ihres Alters nicht wiederzuwählen, verletze daher das Legalitätsprinzip ( Art. 5 Abs. 1 BV ), das nach Art. 38 KV/ZH als kantonales verfassungsmässiges Recht anerkannt sei (unter Verweis auf MATTHIAS HAUSER, in: Kommentar zur Zürcher Kantonsverfassung, 2007, N. 24 zu Art. 38 KV/ZH ). Dies gelte umso mehr, als nach letzterer Bestimmung eine Altersgrenze bzw. die Regelung des Rücktrittsalters für die Mitglieder der obersten kantonalen Gerichte (mindestens) einer formellgesetzlichen Grundlage bedürfe.</w:t>
      </w:r>
    </w:p>
    <w:p>
      <w:r>
        <w:rPr>
          <w:b/>
        </w:rPr>
        <w:t>E. 4.2</w:t>
      </w:r>
    </w:p>
    <w:p>
      <w:r>
        <w:t>Die Geschäftsleitung des Kantonsrats bestreitet nicht, dass das kantonale Recht für die Mitglieder der obersten kantonalen Gerichte weder eine Altersschranke noch ein Rücktrittsalter vorsieht und das übliche Pensionsalter von 65 Jahren gemäss der kantonalen Personalgesetzgebung für die obersten Richterinnen und Richter des Kantons nicht gilt (vgl. dazu TOBIAS JAAG, Die obersten Gerichte des Kantons Zürich, in: Liber amicorum für Andreas Donatsch, 2012, S. 784; REGINA KIENER, in: Kommentar zum Verwaltungsrechtspflegegesetz des Kantons Zürich [VRG], 3. Aufl. 2014, N. 22 zu § 33 [nachfolgend: Kommentar]; Urteil des Verwaltungsgerichts des Kantons Zürich PB.2010.00043 vom 26. Januar 2011 E. 3.3). Sie verneint jedoch, dass die strittige Wahlpraxis gegen das Legalitätsprinzip verstosse. Das Alter sei keine Wählbarkeitsvoraussetzung, sondern ein sachliches Kriterium, das der Kantonsrat in Ausübung seines Ermessens bei der Auswahl der Richterinnen und Richter berücksichtige. Auch ein einwandfreier Leumund und eine dem Amt entsprechende juristische Erfahrung seien für ihn von grosser Relevanz, obschon es sich dabei ebenfalls nicht um Wählbarkeitsvoraussetzungen handle. Es müsse dem Parlament freistehen, unter den gemäss der Kantonsverfassung Wählbaren eine Auswahl nach eigenen, sachlichen Kriterien zu treffen, falle doch das gute Funktionieren der von ihm gewählten Behörden in seinen Zuständigkeitsbereich und liege in seinem Interesse.</w:t>
      </w:r>
    </w:p>
    <w:p>
      <w:r>
        <w:rPr>
          <w:b/>
        </w:rPr>
        <w:t>E. 4.3.1</w:t>
      </w:r>
    </w:p>
    <w:p>
      <w:r>
        <w:t>Das Legalitätsprinzip gemäss Art. 5 Abs. 1 BV ist ein allgemeiner rechtsstaatlicher Grundsatz. Er besagt, dass sich ein staatlicher Akt auf eine gesetzliche Grundlage stützen muss, die BGE 147 I 1 S. 10 hinreichend bestimmt und vom staatsrechtlich zuständigen Organ erlassen worden ist (vgl. BGE 130 I 1 E. 3.1 S. 5; Urteil 1C_517/2017 vom 18. Dezember 2017 E. 5.2). Nach Art. 38 KV/ZH sind alle wichtigen Rechtssätze in der Form des (formellen) Gesetzes zu erlassen (Abs. 1; vgl. BGE 134 I 125 E. 3.2 S. 132; HAUSER, a.a.O., N. 1 ff. zu Art. 38 KV/ZH ), weniger wichtige in der Form der Verordnung (Abs. 2).</w:t>
      </w:r>
    </w:p>
    <w:p>
      <w:r>
        <w:rPr>
          <w:b/>
        </w:rPr>
        <w:t>E. 4.3.2</w:t>
      </w:r>
    </w:p>
    <w:p>
      <w:r>
        <w:t>Art. 40 Abs. 1 KV/ZH verlangt für die Wählbarkeit in ein oberstes kantonales Gericht einzig die Stimmberechtigung in kantonalen Angelegenheiten. Auf eine Bestimmung, die den Gesetzgeber zur Aufstellung besonderer Wählbarkeitsvoraussetzungen für Richterinnen und Richter verpflichtet hätte, hatte der Verfassungsrat in der zweiten Lesung verzichtet (vgl. BGE 137 I 77 E. 3.1 S. 82 f.; WALTER HALLER, in: Kommentar zur Zürcher Kantonsverfassung, 2007, N. 7 zu Art. 40 KV/ZH ). Damit ist es nach der verfassungsrechtlichen Regelung Sache der am Wahlverfahren beteiligten Akteure, darauf zu achten, dass nur qualifizierte Kandidatinnen und Kandidaten für ein hohes Richteramt aufgestellt (vgl. HALLER, a.a.O., N. 7 zu Art. 40 KV/ZH ) sowie gewählt und wiedergewählt werden (vgl. BGE 137 I 77 E. 3.3.5 S. 85 f.). Namentlich die Interfraktionelle Konferenz und der Kantonsrat als Wahlorgan (vgl. Art. 75 Abs. 1 KV/ZH ) kommen deshalb nicht umhin, für die Auswahl bzw. die Wahl und die Wiederwahl Kriterien festzulegen und anzuwenden, die der Besetzung der obersten Gerichte mit geeigneten Richterinnen und Richtern dienen, obschon die entsprechenden Kriterien weder in der Kantonsverfassung noch sonst im kantonalen Recht ausdrücklich geregelt sind (vgl. hingegen für die Mitglieder der Bezirksgerichte § 8 Abs. 2 des Gesetzes [des Kantons Zürich] vom 10. Mai 2010 über die Gerichts- und Behördenorganisation im Zivil- und Strafprozess [GOG/ZH; LS 211.1]: juristisches Studium als Wählbarkeitsvoraussetzung). Ein entsprechendes Vorgehen ist daher grundsätzlich mit dem Legalitätsprinzip vereinbar. Insbesondere erscheint es unproblematisch, wenn bei der Wahl neuer Richterinnen und Richter die von der Geschäftsleitung des Kantonsrats erwähnten Kriterien des einwandfreien Leumunds und der dem Amt entsprechenden juristischen Erfahrung mit berücksichtigt werden.</w:t>
      </w:r>
    </w:p>
    <w:p>
      <w:r>
        <w:rPr>
          <w:b/>
        </w:rPr>
        <w:t>E. 4.3.3</w:t>
      </w:r>
    </w:p>
    <w:p>
      <w:r>
        <w:t>Nicht ohne Weiteres klar ist allerdings, ob auch die vorliegend strittige Wahlpraxis mit dem Legalitätsprinzip vereinbar ist (kritisch JAAG, a.a.O., S. 784; KIENER, Kommentar, a.a.O., N. 22 zu § 33). Mit dem angewandten Kriterium wird zwar kein Höchstalter für die BGE 147 I 1 S. 11 Ausübung eines hohen Richteramts festgelegt; die Wiederwahl wird jedoch von der negativen Voraussetzung abhängig gemacht, dass die Kandidatin bzw. der Kandidat zu Beginn der neuen Amtsperiode das 65. Altersjahr noch nicht vollendet hat. Da das kantonale Recht bewusst darauf verzichtet, eine Altersschranke oder ein Rücktrittsalter für die obersten Richterinnen und Richter festzulegen, stellt sich die Frage, ob die Interfraktionelle Konferenz und der Kantonsrat ohne gesetzliche Grundlage in der genannten Weise an das Alter anknüpfen dürfen. Dabei ist zu beachten, dass die Richterinnen und Richter der obersten kantonalen Gerichte jeweils für eine feste Amtsdauer von sechs Jahren gewählt werden ( Art. 41 Abs. 2 KV/ZH ) und beliebig oft zur Wiederwahl antreten können. Da das kantonale Recht neben einer Altersschranke und einem Rücktrittsalter auch kein Abberufungsverfahren kennt, kann es der Interfraktionellen Konferenz und dem Kantonsrat nach der geltenden Wahlordnung daher nicht verwehrt sein, im Rahmen des Wiederwahlverfahrens (auch) Vorkehren zu treffen, die dazu beitragen, dass die obersten Gerichte nicht aus altersbedingten Gründen ungeeignet besetzt sind (vgl. auch BGE 143 I 211 E. 3.4 S. 214). Allein schon wegen der Dauer der auf die Wiederwahl folgenden Amtsperiode ist dabei ein gewisser Schematismus unumgänglich. Auch wenn das kantonale Recht keine altersbezogene Regelung kennt, erscheint deshalb eine Anknüpfung an das Alter zu Beginn der neuen Amtsperiode als mit dem Legalitätsprinzip vereinbar, vorausgesetzt, diese Anknüpfung ist aus sachlichen Gründen gerechtfertigt. Dies ist, wie noch darzulegen ist (vgl. hinten E. 5.3), der Fall. Die strittige Wahlpraxis verstösst demnach nicht gegen das Legalitätsprinzip.</w:t>
      </w:r>
    </w:p>
    <w:p>
      <w:r>
        <w:rPr>
          <w:b/>
        </w:rPr>
        <w:t>E. 5.1</w:t>
      </w:r>
    </w:p>
    <w:p>
      <w:r>
        <w:t>Der Beschwerdeführer rügt weiter, die strittige Wahlpraxis verletze das Diskriminierungsverbot gemäss Art. 8 Abs. 2 BV . Sie knüpfe mit dem Alter an ein ausdrücklich verpöntes Unterscheidungskriterium an, ohne dass dafür eine qualifizierte Rechtfertigung bestehe. Die Geschäftsleitung des Kantonsrats bestreitet dies und macht geltend, das übliche Rentenalter (für Männer) von 65 Jahren könne als sachlicher Grund kaum in Zweifel gezogen werden.</w:t>
      </w:r>
    </w:p>
    <w:p>
      <w:r>
        <w:rPr>
          <w:b/>
        </w:rPr>
        <w:t>E. 5.2</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BGE 147 I 1 S. 12 geistigen oder psychischen Behinderung. Das Diskriminierungsverbot schliesst die Anknüpfung an ein verpöntes Merkmal jedoch nicht absolut aus. Eine solche begründet vielmehr den Verdacht einer unzulässigen Differenzierung, der durch eine qualifizierte Rechtfertigung umgestossen werden kann ( BGE 138 I 217 E. 3.3.3 S. 221; BGE 136 I 297 E. 7.1 S. 305 mit Hinweisen). Die Hürde für die Rechtfertigung einer unter Art. 8 Abs. 2 BV fallenden Unterscheidung liegt dabei je nach dem verwendeten verpönten Merkmal höher oder tiefer, jedenfalls aber höher als bei einer einfachen Ungleichbehandlung nach Art. 8 Abs. 1 BV ( BGE 138 I 217 E. 3.3.5 S. 222 mit Hinweis). Das Kriterium des Alters ist verglichen mit anderen Diskriminierungsgründen wie dem Geschlecht, der Rasse oder der Religion besonderer Natur, da es nicht an eine historisch schlechtergestellte oder politisch ausgegrenzte Gruppe anknüpft. Es handelt sich um einen atypischen Diskriminierungstatbestand, der sich in der praktischen Anwendung dem allgemeinen Gleichheitssatz von Art. 8 Abs. 1 BV nähert. In Bezug auf die Gründe, die eine Schlechterstellung wegen des Alters rechtfertigen können, geht Art. 8 Abs. 2 BV nicht über die Anforderungen des allgemeinen Gleichheitssatzes hinaus. Im Rahmen der Verhältnismässigkeitsprüfung ist aber ein etwas strikterer Massstab anzuwenden, um so dem mit Art. 8 Abs. 2 BV gewollten höheren Schutz Rechnung zu tragen (zum Ganzen: BGE 138 I 265 E. 4.3 mit Hinweisen auf die Lehre; RAINER J. SCHWEIZER, in: die schweizerische Bundesverfassung, St. Galler Kommentar, 3. Aufl. 2014, N. 71 f. zu Art. 8 BV ). Die Rechtsordnung kennt zahlreiche Regelungen, die an das Alter anknüpfen und Altersgrenzen festlegen (z.B. Mündigkeitsalter, Alter für den Beginn der Schulpflicht, Mindestalter für den Erwerb des Führerausweises oder für eine Adoption, Rentenalter). Nach dem allgemeinen Gleichheitssatz von Art. 8 Abs. 1 BV ist Gleiches nach Massgabe seiner Gleichheit gleich und Ungleiches nach Massgabe seiner Ungleichheit ungleich zu behandeln.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143 V 139 E. 6.2.3 S. 145 f.; BGE 136 V 231 E. 6.1 S. 237 mit Hinweisen). BGE 147 I 1 S. 13</w:t>
      </w:r>
    </w:p>
    <w:p>
      <w:r>
        <w:rPr>
          <w:b/>
        </w:rPr>
        <w:t>E. 5.3</w:t>
      </w:r>
    </w:p>
    <w:p>
      <w:r>
        <w:t>Es ist allgemein bekannt, dass mit zunehmendem Alter die körperliche und geistige Leistungsfähigkeit des Menschen abnimmt, seine Konzentrationsfähigkeit sich vermindert und die Erholungszeit nach Beanspruchungen länger wird. Zunehmende Erfahrung vermag diese Einbussen nur zum Teil zu kompensieren. Indem die strittige Wahlpraxis an das übliche Rentenalter (für Männer) von 65 Jahren anknüpft, trägt sie dieser Entwicklung im legitimen Interesse einer geeigneten Besetzung der obersten kantonalen Gerichte Rechnung und erfolgt daher aus sachlichen Gründen. Daran ändert nichts, dass die Entwicklung von Person zu Person unterschiedlich verläuft. Entziehen kann sich ihr niemand, und es würde, wie in anderen Fällen auch, zu weit führen, eine auf den individuellen Alterungsprozess zugeschnittene Regelung zu verlangen. Ein gewisser Schematismus ist vielmehr unvermeidlich und sachlich begründet, und zwar umso mehr, als die Interfraktionelle Konferenz und der Kantonsrat aufgrund der geltenden Regelung den Alterungsprozess mit seinen Folgen nur im Rahmen des Wiederwahlverfahrens, das heisst alle sechs Jahre berücksichtigen können (vgl. vorne E. 4.3.3). Die strittige Wahlpraxis ist im Weiteren auch verhältnismässig, vermag sie doch die Besetzung der obersten Gerichte im gewünschten Sinn zu beeinflussen, ist keine praktikable mildere Alternative zur Anknüpfung an das Alter ersichtlich und trifft sie die betroffenen Richterinnen und Richter nicht übermässig hart, da diese zumindest bis zur Erreichung des üblichen Pensionsalters (von Männern) von 65 Jahren im Amt bleiben können. Sie verstösst nach dem Gesagten somit nicht gegen das Diskriminierungsverbot von Art. 8 Abs. 2 BV . Der Vollständigkeit halber sei erwähnt, dass sie auch aus Sicht der richterlichen Unabhängigkeit unproblematisch ist (vgl. BGE 143 I 211 E. 3.4 S. 214).</w:t>
      </w:r>
    </w:p>
    <w:p>
      <w:r>
        <w:rPr>
          <w:b/>
        </w:rPr>
        <w:t>E. 6.1</w:t>
      </w:r>
    </w:p>
    <w:p>
      <w:r>
        <w:t>Der Beschwerdeführer rügt schliesslich, die strittige Wahlpraxis verstosse gegen den allgemeinen Gleichheitssatz von Art. 8 Abs. 1 BV . Amtierende Gerichtsmitglieder, die erst kurz nach Beginn der neuen Amtsperiode die Altersgrenze von 65 Jahren erreichten, könnten ihr Amt eine volle weitere Amtsdauer ausüben, mithin bis fast 71, während Gerichtsmitglieder, die das 65. Altersjahr im erwähnten Zeitpunkt bereits vollendet hätten, ausschieden. Da er lediglich bis zum 70. Altersjahr weiterrichten wolle, bliebe er bei einer Wiederwahl auch nicht länger im Amt als Kolleginnen und Kollegen, die aufgrund ihres Alters für die Amtsperiode 2019-2025 noch BGE 147 I 1 S. 14 einmal gewählt worden seien. Für diese Amtsperiode sei ferner ein Ersatzrichter am Verwaltungsgericht wiedergewählt worden, obschon er das 65. Altersjahr bereits vollendet gehabt habe.</w:t>
      </w:r>
    </w:p>
    <w:p>
      <w:r>
        <w:rPr>
          <w:b/>
        </w:rPr>
        <w:t>E. 6.2</w:t>
      </w:r>
    </w:p>
    <w:p>
      <w:r>
        <w:t>Die Geschäftsleitung des Kantonsrats bringt vor, dass Gerichtsmitglieder aufgrund der strittigen Wahlpraxis ihr Amt über das 65. Altersjahr hinaus ausüben könnten, sei eine Folge der sechsjährigen festen Amtsperiode und werde im Interesse der richterlichen Unabhängigkeit in Kauf genommen. Der Grund für die abweichende Regelung für Ersatzmitglieder - wie sie auch andere Kantone kennten - liege weiter darin, dass Ersatzrichterinnen und -richter meist nur fallweise zum Einsatz kämen und das entsprechende Gericht über die Häufigkeit ihres Einsatzes verfügen könne.</w:t>
      </w:r>
    </w:p>
    <w:p>
      <w:r>
        <w:rPr>
          <w:b/>
        </w:rPr>
        <w:t>E. 6.3</w:t>
      </w:r>
    </w:p>
    <w:p>
      <w:r>
        <w:t>Dass manche Richterinnen und Richter der obersten kantonalen Gerichte aufgrund der strittigen Wahlpraxis im Extremfall bis fast 71 richten können, während andere bereits mit 65 Jahren aus dem Amt scheiden müssen, ist zwar eine Folge der geltenden kantonalen Regelung, insbesondere der sechsjährigen festen Amtsdauer, in Verbindung damit, dass allen Richterinnen und Richtern zumindest eine Amtstätigkeit bis 65 ermöglicht wird. Daraus sowie aus dem Umstand, dass die Kantonsverfassung für Richterinnen und Richter im Interesse der richterlichen Unabhängigkeit eine längere Amtsdauer als für andere Behördenmitglieder vorsieht (vgl. Art. 41 KV/ZH ), ergibt sich jedoch nicht, die Wahlpraxis sei mit dem allgemeinen Gleichheitssatz von Art. 8 Abs. 1 BV vereinbar. Unterschiede von bis zu fast sechs Jahren bei der Dauer der Amtsausübung, die einzig aus dem gesetzlich nicht vorgesehenen Abstellen auf das Alter zu Beginn der neuen Amtsperiode beim Wiederwahlentscheid resultieren, sind vielmehr übermässig und halten vor dem Gleichbehandlungsgebot nicht stand. Die strittige Wahlpraxis wird in der Literatur denn auch kritisch beurteilt (vgl. JAAG, a.a.O., S. 784; KIENER, Kommentar, a.a.O., N. 22 zu § 33). Im vorliegenden Fall führt die Wahlpraxis allerdings nicht zu einer verfassungswidrigen Ungleichbehandlung des Beschwerdeführers. Da dieser zu Beginn der neuen Amtsperiode bereits über 67 Jahre alt war und nur bis zum 70. Altersjahr weiterrichten möchte, wirkt sie sich bei ihm von vornherein nicht so aus, dass nur wenig jüngere Richterinnen und Richter ihr Amt bis zu fast sechs Jahren länger ausüben können. Dass gemäss der Wahlpraxis für die Amtsperiode 2019-2025 wiedergewählte Verwaltungsrichterinnen und -richter BGE 147 I 1 S. 15 deutlich länger im Amt bleiben könnten als der Beschwerdeführer, ist zudem nicht ersichtlich. Soweit ein Unterschied besteht - gemäss dem vom Beschwerdeführer eingereichten Wahlvorschlag der Interfraktionellen Konferenz haben die ältesten wiedergewählten Mitglieder des Verwaltungsgerichts Jahrgang 1957 -, erscheint er vielmehr nicht als übermässig. Auch mit dem Verweis auf die abweichende Wahlpraxis für Ersatzrichterinnen und -richter vermag der Beschwerdeführer keine verfassungswidrige Ungleichbehandlung darzutun. Wie die Geschäftsleitung des Kantonsrats zutreffend vorbringt, bestehen zwischen den Mitgliedern und den Ersatzmitgliedern der obersten kantonalen Gerichte massgebliche Unterschiede in der Art ihres Einsatzes, welche die in Bezug auf das Alter abweichende Wahlpraxis zu rechtfertigen vermögen. Dass eine vakante Stelle für ein Ersatzmitglied offenbar mit der "Unter-65-Jahre-Klausel" ausgeschrieben wurde, wie der Beschwerdeführer vorbringt, ändert daran nichts, stellt dies das Bestehen dieser Unterschiede doch nicht in Frage.</w:t>
      </w:r>
    </w:p>
    <w:p>
      <w:r>
        <w:rPr>
          <w:b/>
        </w:rPr>
        <w:t>E. 6.4</w:t>
      </w:r>
    </w:p>
    <w:p>
      <w:r>
        <w:t>Damit erweist sich die Beschwerde im Verfahren 1C_357/2019 auch hinsichtlich der Rüge der Verletzung des allgemeinen Gleichheitssatzes von Art. 8 Abs. 1 BV und damit insgesamt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